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0"/>
          <w:szCs w:val="30"/>
        </w:rPr>
      </w:pPr>
      <w:r>
        <w:rPr>
          <w:rFonts w:hint="eastAsia" w:ascii="宋体" w:hAnsi="宋体" w:eastAsia="宋体"/>
          <w:b/>
          <w:bCs/>
          <w:sz w:val="30"/>
          <w:szCs w:val="30"/>
        </w:rPr>
        <w:t>学生会部门设置</w:t>
      </w:r>
    </w:p>
    <w:tbl>
      <w:tblPr>
        <w:tblStyle w:val="3"/>
        <w:tblpPr w:leftFromText="180" w:rightFromText="180" w:vertAnchor="page" w:horzAnchor="margin" w:tblpXSpec="center" w:tblpY="240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483"/>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pPr>
            <w:r>
              <w:rPr>
                <w:rFonts w:hint="eastAsia" w:ascii="Calibri" w:hAnsi="Calibri"/>
                <w:b/>
                <w:sz w:val="24"/>
                <w:szCs w:val="20"/>
              </w:rPr>
              <w:t>主席团</w:t>
            </w:r>
          </w:p>
        </w:tc>
        <w:tc>
          <w:tcPr>
            <w:tcW w:w="1483" w:type="dxa"/>
            <w:vAlign w:val="center"/>
          </w:tcPr>
          <w:p>
            <w:pPr>
              <w:spacing w:line="360" w:lineRule="auto"/>
              <w:jc w:val="center"/>
              <w:rPr>
                <w:rFonts w:ascii="Calibri" w:hAnsi="Calibri"/>
                <w:b/>
                <w:szCs w:val="21"/>
              </w:rPr>
            </w:pPr>
            <w:r>
              <w:rPr>
                <w:rFonts w:hint="eastAsia" w:ascii="Calibri" w:hAnsi="Calibri"/>
                <w:b/>
                <w:szCs w:val="21"/>
              </w:rPr>
              <w:t xml:space="preserve">主席1人 </w:t>
            </w:r>
          </w:p>
          <w:p>
            <w:pPr>
              <w:spacing w:line="360" w:lineRule="auto"/>
              <w:jc w:val="center"/>
            </w:pPr>
            <w:r>
              <w:rPr>
                <w:rFonts w:hint="eastAsia" w:ascii="Calibri" w:hAnsi="Calibri"/>
                <w:b/>
                <w:szCs w:val="21"/>
              </w:rPr>
              <w:t>副主席2人</w:t>
            </w:r>
          </w:p>
        </w:tc>
        <w:tc>
          <w:tcPr>
            <w:tcW w:w="6395" w:type="dxa"/>
            <w:vAlign w:val="center"/>
          </w:tcPr>
          <w:p>
            <w:pPr>
              <w:spacing w:line="300" w:lineRule="auto"/>
            </w:pPr>
            <w:r>
              <w:rPr>
                <w:rFonts w:hint="eastAsia"/>
              </w:rPr>
              <w:t>负责领导各职能部门的工作，制定学生会的规章制度，制定本届学生会的目标和任务，召集学生会全体会议，负责日常事务的决策和审批，并向团委提议批准任免学生会各工作机构和职能部门负责人，定期向院团委和本届学生会全体会议提交工作总结和下阶段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rPr>
                <w:rFonts w:ascii="Calibri" w:hAnsi="Calibri"/>
                <w:b/>
                <w:sz w:val="24"/>
                <w:szCs w:val="20"/>
              </w:rPr>
            </w:pPr>
            <w:r>
              <w:rPr>
                <w:rFonts w:hint="eastAsia" w:ascii="Calibri" w:hAnsi="Calibri"/>
                <w:b/>
                <w:sz w:val="24"/>
                <w:szCs w:val="20"/>
              </w:rPr>
              <w:t>综合事务部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副部长2人</w:t>
            </w:r>
          </w:p>
        </w:tc>
        <w:tc>
          <w:tcPr>
            <w:tcW w:w="6395" w:type="dxa"/>
            <w:vAlign w:val="center"/>
          </w:tcPr>
          <w:p>
            <w:pPr>
              <w:spacing w:line="300" w:lineRule="auto"/>
            </w:pPr>
            <w:r>
              <w:t>负责统筹协调主席团与各部门的工作，负责学生会日常事务；定期进行学生全体成员的工作考核；负责学生会全体会议、主席团会议的通知、安排、记录；撰拟、保存、收发</w:t>
            </w:r>
            <w:r>
              <w:rPr>
                <w:rFonts w:hint="eastAsia"/>
              </w:rPr>
              <w:t>学生会工作</w:t>
            </w:r>
            <w:r>
              <w:t>计划、总结、简报等文件；组织学生会内部活动；与班级权益委员对接，负责院内的学</w:t>
            </w:r>
            <w:r>
              <w:rPr>
                <w:rFonts w:hint="eastAsia"/>
              </w:rPr>
              <w:t>生</w:t>
            </w:r>
            <w:r>
              <w:t>权益</w:t>
            </w:r>
            <w:r>
              <w:rPr>
                <w:rFonts w:hint="eastAsia"/>
              </w:rPr>
              <w:t>保障及相关</w:t>
            </w:r>
            <w:r>
              <w:t>调研工作</w:t>
            </w:r>
            <w:r>
              <w:rPr>
                <w:rFonts w:hint="eastAsia"/>
              </w:rPr>
              <w:t>；做好学生会的后勤保障工作，负责举办魅力数学游园会等学院特色活动。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rPr>
                <w:rFonts w:ascii="Calibri" w:hAnsi="Calibri"/>
                <w:b/>
                <w:sz w:val="24"/>
                <w:szCs w:val="20"/>
              </w:rPr>
            </w:pPr>
            <w:r>
              <w:rPr>
                <w:rFonts w:hint="eastAsia" w:ascii="Calibri" w:hAnsi="Calibri"/>
                <w:b/>
                <w:sz w:val="24"/>
                <w:szCs w:val="20"/>
              </w:rPr>
              <w:t>文体部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副部长2人</w:t>
            </w:r>
          </w:p>
        </w:tc>
        <w:tc>
          <w:tcPr>
            <w:tcW w:w="6395" w:type="dxa"/>
            <w:vAlign w:val="center"/>
          </w:tcPr>
          <w:p>
            <w:pPr>
              <w:spacing w:line="300" w:lineRule="auto"/>
              <w:rPr>
                <w:rFonts w:hint="eastAsia" w:ascii="-webkit-standard" w:hAnsi="-webkit-standard"/>
                <w:color w:val="000000"/>
                <w:szCs w:val="21"/>
              </w:rPr>
            </w:pPr>
            <w:r>
              <w:rPr>
                <w:rFonts w:hint="eastAsia" w:ascii="-webkit-standard" w:hAnsi="-webkit-standard"/>
                <w:color w:val="000000"/>
                <w:szCs w:val="21"/>
              </w:rPr>
              <w:t>负责组织开展院内文艺活动，如迎新晚会、健美操、影视配音大赛、毕业生晚会；负责院主持人队、院礼仪队的培训调度工作;负责组织开展院内体育活动，如迎新篮球赛、运动会；督促院足球队、院篮球队、院羽毛球队等队的队员的训练；</w:t>
            </w:r>
            <w:r>
              <w:rPr>
                <w:rFonts w:hint="eastAsia"/>
              </w:rPr>
              <w:t>指导并考核各班文体委员工作。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ind w:firstLine="240" w:firstLineChars="100"/>
              <w:rPr>
                <w:rFonts w:ascii="Calibri" w:hAnsi="Calibri"/>
                <w:b/>
                <w:sz w:val="24"/>
                <w:szCs w:val="20"/>
              </w:rPr>
            </w:pPr>
            <w:r>
              <w:rPr>
                <w:rFonts w:hint="eastAsia" w:ascii="Calibri" w:hAnsi="Calibri"/>
                <w:b/>
                <w:sz w:val="24"/>
                <w:szCs w:val="20"/>
              </w:rPr>
              <w:t>学习部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副部长1人</w:t>
            </w:r>
          </w:p>
        </w:tc>
        <w:tc>
          <w:tcPr>
            <w:tcW w:w="6395" w:type="dxa"/>
            <w:vAlign w:val="center"/>
          </w:tcPr>
          <w:p>
            <w:pPr>
              <w:spacing w:line="300" w:lineRule="auto"/>
              <w:rPr>
                <w:rFonts w:hint="eastAsia" w:ascii="-webkit-standard" w:hAnsi="-webkit-standard"/>
                <w:color w:val="000000"/>
                <w:szCs w:val="21"/>
              </w:rPr>
            </w:pPr>
            <w:r>
              <w:rPr>
                <w:rFonts w:hint="eastAsia" w:ascii="-webkit-standard" w:hAnsi="-webkit-standard"/>
                <w:color w:val="000000"/>
                <w:szCs w:val="21"/>
              </w:rPr>
              <w:t>负责学院学风建设工作，举办各类学习讲座，如新生家长见面会、保研经验交流会、考研经验交流会；负责开展内容新颖、题材广泛的学习活动，如励志周末，辩论赛、趣味数学知识竞赛；</w:t>
            </w:r>
            <w:r>
              <w:rPr>
                <w:rFonts w:hint="eastAsia"/>
              </w:rPr>
              <w:t>指导并考核各班学习委员工作。</w:t>
            </w:r>
            <w:r>
              <w:rPr>
                <w:rFonts w:hint="eastAsia" w:ascii="-webkit-standard" w:hAnsi="-webkit-standard"/>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rPr>
                <w:rFonts w:ascii="Calibri" w:hAnsi="Calibri"/>
                <w:b/>
                <w:sz w:val="24"/>
                <w:szCs w:val="20"/>
              </w:rPr>
            </w:pPr>
            <w:r>
              <w:rPr>
                <w:rFonts w:hint="eastAsia" w:ascii="Calibri" w:hAnsi="Calibri"/>
                <w:b/>
                <w:sz w:val="24"/>
                <w:szCs w:val="20"/>
              </w:rPr>
              <w:t>文化建设部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副部长2人</w:t>
            </w:r>
          </w:p>
        </w:tc>
        <w:tc>
          <w:tcPr>
            <w:tcW w:w="6395" w:type="dxa"/>
            <w:vAlign w:val="center"/>
          </w:tcPr>
          <w:p>
            <w:pPr>
              <w:spacing w:line="300" w:lineRule="auto"/>
            </w:pPr>
            <w:r>
              <w:rPr>
                <w:rFonts w:hint="eastAsia"/>
              </w:rPr>
              <w:t>负责学院“数学嘉年华”的举办，主办</w:t>
            </w:r>
            <w:r>
              <w:t>三行情诗、扎染</w:t>
            </w:r>
            <w:r>
              <w:rPr>
                <w:rFonts w:hint="eastAsia"/>
              </w:rPr>
              <w:t>、填字数独大赛，统筹安排其他部门完成魅力数学游园会、多米诺骨牌大赛等活动；负责整体管理学院下属社团，协助社团活动，做好与学校社团中心的联络工作。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rPr>
                <w:rFonts w:ascii="Calibri" w:hAnsi="Calibri"/>
                <w:b/>
                <w:sz w:val="24"/>
                <w:szCs w:val="20"/>
              </w:rPr>
            </w:pPr>
            <w:r>
              <w:rPr>
                <w:rFonts w:hint="eastAsia" w:ascii="Calibri" w:hAnsi="Calibri"/>
                <w:b/>
                <w:sz w:val="24"/>
                <w:szCs w:val="20"/>
              </w:rPr>
              <w:t>科技学术部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副部长1人</w:t>
            </w:r>
          </w:p>
        </w:tc>
        <w:tc>
          <w:tcPr>
            <w:tcW w:w="6395" w:type="dxa"/>
            <w:vAlign w:val="center"/>
          </w:tcPr>
          <w:p>
            <w:pPr>
              <w:spacing w:line="300" w:lineRule="auto"/>
              <w:rPr>
                <w:rFonts w:ascii="宋体" w:hAnsi="宋体"/>
                <w:color w:val="000000"/>
                <w:szCs w:val="21"/>
              </w:rPr>
            </w:pPr>
            <w:r>
              <w:rPr>
                <w:rFonts w:hint="eastAsia" w:ascii="宋体" w:hAnsi="宋体" w:cs="宋体"/>
                <w:color w:val="000000"/>
                <w:szCs w:val="21"/>
              </w:rPr>
              <w:t>负责营造学院科技学术氛围，组织参加“创青春”、</w:t>
            </w:r>
            <w:r>
              <w:rPr>
                <w:rFonts w:hint="eastAsia"/>
                <w:color w:val="000000"/>
                <w:szCs w:val="21"/>
              </w:rPr>
              <w:t>“</w:t>
            </w:r>
            <w:r>
              <w:rPr>
                <w:rFonts w:hint="eastAsia" w:ascii="宋体" w:hAnsi="宋体" w:cs="宋体"/>
                <w:color w:val="000000"/>
                <w:szCs w:val="21"/>
              </w:rPr>
              <w:t>挑战杯</w:t>
            </w:r>
            <w:r>
              <w:rPr>
                <w:rFonts w:eastAsia="-webkit-standard"/>
                <w:color w:val="000000"/>
                <w:szCs w:val="21"/>
              </w:rPr>
              <w:t>”</w:t>
            </w:r>
            <w:r>
              <w:rPr>
                <w:rFonts w:hint="eastAsia" w:ascii="宋体" w:hAnsi="宋体" w:cs="宋体"/>
                <w:color w:val="000000"/>
                <w:szCs w:val="21"/>
              </w:rPr>
              <w:t>、科研立项等活动；负责学院科研班主任、科研助理的选拔和考核；负责开展主题鲜明，紧扣时代特征、学院特色的的主题活动；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vAlign w:val="center"/>
          </w:tcPr>
          <w:p>
            <w:pPr>
              <w:spacing w:line="360" w:lineRule="auto"/>
              <w:jc w:val="center"/>
              <w:rPr>
                <w:rFonts w:ascii="Calibri" w:hAnsi="Calibri"/>
                <w:b/>
                <w:sz w:val="24"/>
                <w:szCs w:val="20"/>
              </w:rPr>
            </w:pPr>
            <w:r>
              <w:rPr>
                <w:rFonts w:hint="eastAsia" w:ascii="Calibri" w:hAnsi="Calibri"/>
                <w:b/>
                <w:sz w:val="24"/>
                <w:szCs w:val="20"/>
              </w:rPr>
              <w:t>实践服务部</w:t>
            </w:r>
          </w:p>
        </w:tc>
        <w:tc>
          <w:tcPr>
            <w:tcW w:w="1483" w:type="dxa"/>
            <w:vAlign w:val="center"/>
          </w:tcPr>
          <w:p>
            <w:pPr>
              <w:spacing w:line="360" w:lineRule="auto"/>
              <w:jc w:val="center"/>
              <w:rPr>
                <w:rFonts w:ascii="Calibri" w:hAnsi="Calibri"/>
                <w:b/>
                <w:szCs w:val="21"/>
              </w:rPr>
            </w:pPr>
            <w:r>
              <w:rPr>
                <w:rFonts w:hint="eastAsia" w:ascii="Calibri" w:hAnsi="Calibri"/>
                <w:b/>
                <w:szCs w:val="21"/>
              </w:rPr>
              <w:t>部长1人</w:t>
            </w:r>
          </w:p>
          <w:p>
            <w:pPr>
              <w:spacing w:line="360" w:lineRule="auto"/>
              <w:jc w:val="center"/>
              <w:rPr>
                <w:rFonts w:ascii="Calibri" w:hAnsi="Calibri"/>
                <w:b/>
                <w:szCs w:val="21"/>
              </w:rPr>
            </w:pPr>
            <w:r>
              <w:rPr>
                <w:rFonts w:hint="eastAsia" w:ascii="Calibri" w:hAnsi="Calibri"/>
                <w:b/>
                <w:szCs w:val="21"/>
              </w:rPr>
              <w:t>副部长2人</w:t>
            </w:r>
          </w:p>
        </w:tc>
        <w:tc>
          <w:tcPr>
            <w:tcW w:w="6395" w:type="dxa"/>
            <w:vAlign w:val="center"/>
          </w:tcPr>
          <w:p>
            <w:pPr>
              <w:spacing w:line="300" w:lineRule="auto"/>
              <w:rPr>
                <w:rFonts w:ascii="宋体" w:hAnsi="宋体" w:cs="宋体"/>
                <w:color w:val="000000"/>
                <w:szCs w:val="21"/>
              </w:rPr>
            </w:pPr>
            <w:r>
              <w:rPr>
                <w:rFonts w:hint="eastAsia"/>
              </w:rPr>
              <w:t>负责组织寒暑期社会实践、日常社会实践、职业生涯规划等活动；负责举办社会实践动员大会及经验交流会；负责学院微信公众号栏目“小山带你侃实践”的撰写和学院菌菌QQ墙的运营和维护；负责学院学生志愿服务学时的认定和志愿服务活动的开展，如志愿者注册、黄家沟小学支教、“积分筑梦”活动；指导并考核各班</w:t>
            </w:r>
            <w:r>
              <w:rPr>
                <w:rFonts w:hint="eastAsia"/>
                <w:lang w:val="en-US" w:eastAsia="zh-CN"/>
              </w:rPr>
              <w:t>就业</w:t>
            </w:r>
            <w:bookmarkStart w:id="0" w:name="_GoBack"/>
            <w:bookmarkEnd w:id="0"/>
            <w:r>
              <w:rPr>
                <w:rFonts w:hint="eastAsia"/>
              </w:rPr>
              <w:t>委员工作。</w:t>
            </w:r>
          </w:p>
        </w:tc>
      </w:tr>
    </w:tbl>
    <w:p>
      <w:pPr>
        <w:rPr>
          <w:rFonts w:hint="eastAsia" w:ascii="宋体" w:hAnsi="宋体" w:eastAsia="宋体"/>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23"/>
    <w:rsid w:val="005F26B1"/>
    <w:rsid w:val="00956D23"/>
    <w:rsid w:val="009D1E39"/>
    <w:rsid w:val="2B80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825</Characters>
  <Lines>6</Lines>
  <Paragraphs>1</Paragraphs>
  <TotalTime>6</TotalTime>
  <ScaleCrop>false</ScaleCrop>
  <LinksUpToDate>false</LinksUpToDate>
  <CharactersWithSpaces>968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2019-06-11T11:49:00Z</dcterms:created>
  <dc:creator>昱 刘</dc:creator>
  <cp:lastModifiedBy>丹</cp:lastModifiedBy>
  <dcterms:modified xsi:type="dcterms:W3CDTF">2019-06-11T15:19:56Z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